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2012/194 vom 11. November 2014</w:t>
      </w:r>
    </w:p>
    <w:p>
      <w:r>
        <w:t>Sg Versicherungsgericht, 2014-11-11, DE</w:t>
      </w:r>
    </w:p>
    <w:p>
      <w:r>
        <w:rPr>
          <w:b/>
        </w:rPr>
        <w:t xml:space="preserve">Quelle: </w:t>
      </w:r>
      <w:r>
        <w:t>https://mcp.opencaselaw.ch/entscheid/sg_publikationen_IV 2012_194</w:t>
      </w:r>
    </w:p>
    <w:p>
      <w:r>
        <w:t>FR: SG_VERSICHERUNGSGERICHT IV 2012/194 du 11 novembre 2014</w:t>
      </w:r>
    </w:p>
    <w:p>
      <w:r>
        <w:t>IT: SG_VERSICHERUNGSGERICHT IV 2012/194 del 11 novembre 2014</w:t>
      </w:r>
    </w:p>
    <w:p>
      <w:pPr>
        <w:pStyle w:val="Heading2"/>
      </w:pPr>
      <w:r>
        <w:t>Regeste</w:t>
      </w:r>
    </w:p>
    <w:p>
      <w:r>
        <w:t>Art. 28 IVG. Beweiswert eines Gutachtens. In antizipierter Beweiswürdigung ist davon auszugehen, dass weitere medizinische Abklärungen keine weiteren entscheidrelevanten Informationen liefern würden. Abweisung der Beschwerde, da kein anspruchsbegründender Invaliditätsgrad resultiert (Entscheid des Versicherungsgerichts des Kantons St. Gallen vom 11. November 2014, IV 2012/194).</w:t>
      </w:r>
    </w:p>
    <w:p>
      <w:pPr>
        <w:pStyle w:val="Heading2"/>
      </w:pPr>
      <w:r>
        <w:t>Erwägungen</w:t>
      </w:r>
    </w:p>
    <w:p>
      <w:r>
        <w:rPr>
          <w:b/>
        </w:rPr>
        <w:t>E. 1</w:t>
      </w:r>
    </w:p>
    <w:p>
      <w:r>
        <w:t>1.1   Vorab ist zu prüfen, ob die Beschwerdegegnerin den Anspruch des Beschwerde­führers auf rechtliches Gehör verletzt hat, indem sie sich mit den im Einwand vorge­brachten Argumenten nicht genügend auseinandergesetzt habe. 1.2   Verfügungen sind zu begründen, wenn sie den Begehren der Parteien nicht voll entsprechen (Art. 49 Abs. 3 des Bundesgesetzes über den Allgemeinen Teil des Sozialversicherungsrechts, ATSG, SR 830.1). Die Begründungspflicht ist ein wesentlicher Bestandteil des in Art. 29 Abs. 2 BV verfassungsrechtlich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1.3   Aus der Verfügungsbegründung geht hervor, dass sich die Beschwerdegegnerin mit Bezug auf die Arbeitsfähigkeitsschätzung vollumfänglich auf das ABI-Gutachten gestützt hat. Auch der Einkommensvergleich und der daraus resultierende IV-Grad sind in der Verfügungsbegründung nachvollziehbar dargelegt worden. Der Rechtsvertreter hat hauptsächlich medizinische Einwände vorgebracht und zu deren Untermauerung zusätzliche medizinische Berichte eingereicht. Die Beschwerdegegnerin hat den Einwand sowie die dazugehörigen medizinischen Berichte dem Ärztlichen Begutachtungsinstitut (ABI) zur Stellungnahme vorgelegt und deren Stellungnahme wiederum vom RAD überprüfen lassen. Beide Stellungnahmen hat sie der Verfügung beigelegt. Diese Vorgehensweise war korrekt, da den Sachbearbeiterinnen und Sachbearbeiter der Beschwerdegegnerin das Fachwissen fehlt, um die Begründetheit medizinischer Einwendungen beurteilen zu können. Neben der medizinischen Kritik am Gutachten hat der Rechtsvertreter im Einwand zudem geltend gemacht, dass das Gutachten schon deshalb nicht beweiskräftig sei, weil es vom nicht neutralen und nicht unabhängigen ABI erstellt worden sei. Das ABI hat sich in der oben genannten Stellungnahme zu diesen Vorwürfen geäussert. Aus dem Umstand, dass die Beschwerdegegnerin die Stellungnahme des ABI der Verfügung beigelegt hat, muss die Schlussfolgerung gezogen werden, dass sie sich den darin enthaltenen Äusserungen des ABI angeschlossen hat. Zwar ist das ABI nicht auf jeden einzelnen Kritikpunkt eingegangen. Die Beschwerdegegnerin muss ihre Entscheide jedoch nur soweit begründen, dass den Betroffenen eine sachgerechte Anfechtung des Entscheides möglich ist. Das bedeutet, dass die Betroffenen die Gründe kennen müssen, auf denen der Entscheid basiert. Dazu reicht es im vorliegenden Fall aus, dass der Beschwerdeführer Kenntnis davon gehabt hat, dass die Beschwerdegegnerin überzeugt ist, die Sachverständigen hätten ihre medizinischen Entscheide unabhängig und objektiv gefällt. Die Beschwerdegegnerin hat demzufolge die Begründungspflicht und damit den Anspruch des Beschwerdeführers auf rechtliches Gehör nicht verletzt. Dies zeigt sich im Übrigen auch darin, dass der Rechtsvertreter durchaus in der Lage gewesen ist, in der Beschwerdeschrift (wie auch im Einwand) zum Entscheid in materieller Hinsicht ausführlich und detailliert Stellung zu nehmen.</w:t>
      </w:r>
    </w:p>
    <w:p>
      <w:r>
        <w:rPr>
          <w:b/>
        </w:rPr>
        <w:t>E. 2</w:t>
      </w:r>
    </w:p>
    <w:p>
      <w:r>
        <w:t>Der Rechtsvertreter hat geltend gemacht, das ganze Begutachtungssystem der Inva­lidenversicherung gewährleiste keine unabhängige und neutrale Begutachtung. Zur Begründung hat er insbesondere wirtschaftliche Gründe angeführt (vgl. Ziff. B.b.). Das ABI-Gutachten tauge daher nicht als alles entscheidendes Beweisstück zur Beurteilung, ob ein Rentenanspruch bestehe. Bezüglich dieser generellen Befangenheitsvorwürfe kann auf BGE 137 V 210 verwiesen werden. In diesem Grundsatzentscheid hat sich das Bundesgericht eingehend mit der Beschaffung medizinischer Entscheidungsgrundlagen in der Invalidenversicherung durch externe Begutachtungsinstitute wie die Medizinischen Abklärungsstellen (MEDAS), zu welchen auch die ABI GmbH zählt, auseinandergesetzt und deren Verwendung auch im Gerichtsverfahren an sich als verfassungskonform erklärt. Vor dem Hintergrund dieses Grundsatzentscheides erscheint die vom Rechtsvertreter behauptete fehlende Unabhängigkeit des ABI als unbegründet, zumal er lediglich pauschale Vorwürfe gegen die ABI-Gutachter erhoben hat. Der Vorwurf der Manipulation von Gutachten durch die ABI-GmbH hat sich nie erhärten lassen. Die entsprechenden Strafverfahren sind rechtskräftig eingestellt worden. Dieser Vorwurf kann deshalb nicht Anlass dazu geben, Jahre später Gutachten des ABI pauschal als unglaubwürdig zu qualifizieren (vgl. Urteil des Bundesgerichts vom 15. Mai 2014, 8C_660/2013 E. 4.2.2). Der Rechtsvertreter hat denn auch nicht geltend gemacht, dass sich die Sachverständigen im Rahmen des den Beschwerdeführer betreffenden Gutachtens strafbar gemacht hätten. Hinzu kommt, dass der Rechtsvertreter vor der Begutachtung keine Einwände gegen das Begutachtungsinstitut und die begutachtenden Personen vorgebracht hat, obwohl er von der Beschwerdegegnerin über diese Möglichkeit informiert worden ist (siehe IV-act. 72). Es erscheint daher geradezu rechtsmissbräuchlich, nach der Begutachtung generelle Befangenheitsvorwürfe gegen die Begutachtungsstelle vorzubringen und die Unverwertbarkeit des Gutachtens zu verlangen (vgl. Urteil des Bundesgerichts vom 15. Mai 2014, 8C_660/2013 E. 4.2.1). Das ABI-Gutachten ist folglich verwertbar.</w:t>
      </w:r>
    </w:p>
    <w:p>
      <w:r>
        <w:rPr>
          <w:b/>
        </w:rPr>
        <w:t>E. 3</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In medizinischer Hinsicht liegen insbesondere der Bericht des Rheumatologen Dr. E.___ vom 23. September 2009, der Austrittsbericht der Klinik Valens vom 11. Ja­nuar 2010, die Berichte des Psychiaters Dr. F.___ vom 4. Juni 2010, 28. April 2011 und 15. Februar 2012, die Berichte des Otorhinolaryngologe Dr. H.___ vom 20. Okto­ber 2010 und 9. Januar 2012, das ABI-Gutachten vom 25. Oktober 2011 und die Stellungnahme des ABI vom 16. Februar 2012 sowie die Stellungnahmen des RAD-Arztes Dr. L.___ vom 25. November 2011 und 16. April 2012 bei den Akten. 4.2   Der Rechtsvertreter hat geltend gemacht, dass das ABI-Gutachten schon in for­meller Hinsicht mangelhaft sei, da es keine Literaturhinweise enthalte. Dieser Argu­mentation kann nicht gefolgt werden: Namentlich bei den Richterinnen und Richtern, die den Beweiswert eines Gutachtens überprüfen, handelt es sich um medizinische Laien. Dies bedeutet, dass sie nicht über das Fachwissen verfügen, um ein Gutachten bis ins kleinste Detail zu überprüfen; sie können lediglich beurteilen, ob das Gutachten insgesamt konsistent ist, d.h. ob es mit Bezug auf die streitigen Belange umfassend ist, auf allseitigen Untersuchungen beruht, die geklagten Beschwerden berücksichtigt, in Kenntnis der Vorakten abgegeben worden ist, in der Beurteilung der medizinischen Zusammenhänge und in der Beurteilung der medizinischen Situation einleuchtet und ob die Schlussfolgerungen begründet sind (vgl. z.B. BGE 125 V 351 E 3a). Eine medizinisch-wissenschaftliche Auseinandersetzung mit verschiedenen Untersuchungsmethoden, diagnostischen Verfahren etc. würde dabei zu weit gehen. Es ist daher nicht zwingend notwendig, dass die Sachverständigen ihre Aussagen und Untersuchungen mit Literaturhinweisen versehen. Hinzu kommt, dass Gutachter ohnehin in der Wahl der geeigneten Prüfmethoden frei sind. Fehlende Literaturhinweise sind daher nicht geeignet, einem Gutachten von vornherein den Beweiswert abzusprechen. Im Übrigen ist gerichtsnotorisch, dass Literaturhinweise in Gutachten eher selten zu finden sind. Würde ein Gutachten allein aus diesem Grund als nicht nachvollziehbar erachtet werden, müssten praktisch alle bisher erstellten Gutachten zuhanden der IV-Stellen und Gerichte als mangelhaft qualifiziert werden. 4.3   Der Rechtsvertreter hat sodann argumentiert, dass sich der psychiatrische Gut­achter nicht ausreichend mit den Vorakten auseinandergesetzt habe. Er habe nicht hinreichend begründet, weshalb seine Einschätzung von jener von Dr. F.___ abweiche. Während Dr. F.___ Anfang Juni 2010 eine mittelgradige depressive Episode mit somatischen Symptomen, Ende April 2011 eine leichte bis mittelgradige depressive Episode und Mitte Februar 2012 eine schwere depressive Episode mit somatischen Symptomen diagnostiziert hat, hat Dr. K.___ im Juni 2011 lediglich einen Status nach Anpassungsstörung mit längerer depressiver Reaktion diagnostiziert. Dr. F.___ hat im Februar 2012 berichtet, dass sich der psychische Zustand des Beschwerdeführers seit Behandlungsbeginn, d.h. seit Februar 2010, stets verschlechtert habe. Er leide seither unter andauernden Anspannungen und Besorgtheit, einer massiven Selbstwertproblematik, einer Abneigung, sich auf persönliche Kontakte einzulassen inklusive konsequentem sozialem Rückzug, einem ausgeprägt eingeschränkten Lebensstil und der Sorge um die körperliche Sicherheit. Die psychiatrische Begutachtung hat im Juni 2011 stattgefunden. Der Beschwerdeführer hat seinen Tagesablauf damals wie folgt umschrieben: Meistens gehe er um 22.30 Uhr ins Bett und stehe um 7 Uhr auf. Tagsüber sei er meistens in der Wohnung: Er lese Zeitungen, schaue fern, beschäftige sich mit dem PC oder telefoniere mit Verwandten und Bekannten. Er habe 20 Bekannte, mit denen er regelmässig telefoniere. Kleinere Spaziergänge seien möglich, er erledige auch kleinere Einkäufe. Abends unterhalte er sich mit seiner Freundin, spiele mit ihr oder sehe fern. Am Wochenende würden sie oft Bekannte einladen oder selber Bekannte besuchen. Er habe sehr gerne Besuch, dies sei für ihn eine willkommene Ab­wechslung (IV-act. 77 S. 10). Eine Depression ist eine affektive Störung, die ins­besondere durch gedrückte Stimmung, Interessenverlust, Antriebslosigkeit und ver­minderte Leistungsfähigkeit gekennzeichnet ist (Pschyrembel, Klinisches Wörterbruch, 262. Auflage, Berlin 2011, S. 449). Der geschilderte Tagesablauf lässt sich weder mit den Befunden von Dr. F.___, insbesondere dem geltend gemachten konsequenten Rückzug, noch mit den Symptomen einer depressiven Störung vereinbaren. Demgegenüber überzeugt die Schlussfolgerung von Dr. K.___, dass zurzeit keine depressiven Verstimmungen feststellbar seien und daher lediglich ein Status nach einer Anpassungsstörung mit längerer depressiver Reaktion diagnostiziert werden könne. Dr. F.___ hat sodann eine massive Akzentuierung der infantil-ängstlichen Persönlichkeitszüge an der Grenze zu einer ängstlichen Persönlichkeitsstörung/Persönlichkeitsänderung diagnostiziert. Grund dafür sei die Marginalisierung der somatischen Leiden, insbesondere der Gleichgewichtsstörung. Die Persönlichkeitsstörung/Persönlichkeitsveränderung drücke sich durch Ängstlichkeit, allgemeine Unsicherheit, ständige Anspannungen, Magen-Darm-Beschwerden und ständige Sorgen aus. Dr. K.___ hat überzeugend begründet, weshalb er beim Beschwerdeführer keine eigentliche Persönlichkeitsstörung hat diagnostizieren können. Auch Angstsymptome hat er keine feststellen können: Der Beschwerdeführer leide tagsüber nicht unter Ängsten, könne auch nachts relativ gut schlafen, könne sich frei ausserhalb seiner Wohnung bewegen und geniesse es, soziale Kontakte zu pflegen. Er ängstige sich einzig vor der Zukunft, da die Freundin langsam ungeduldig werde, weil sie ihn finanziell unterstütze. Es ist mit Dr. K.___ daher davon auszugehen, dass beim Beschwerdeführer lediglich unreife Persönlichkeitszüge vorliegen. Sodann hat Dr. K.___ noch eine Somatisierungs­störung festgestellt. Er hat diese überzeugend damit begründet, dass das Ausmass der geklagten körperlichen Beschwerden (Sensibilitätsstörungen, Schwindel, Gleich­gewichtsstörungen) und die subjektive Krankheitsüberzeugung durch die somatischen Befunde nicht hinreichend hätten objektiviert werden können. Wie jede andere psy­chische Beeinträchtigung begründet indes auch eine diagnostizierte anhaltende Somatisierungsstörung als solche noch keine Invalidität. Vielmehr besteht eine Ver­mutung, dass die Somatisierungsstörung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Dr. F.___ hat sich zu dieser sog. Überwindbarkeitspraxis des Bundesgerichts nicht geäussert. Demgegenüber ist Dr. K.___ zum Schluss gekommen, dass der Beschwerdeführer die (nicht umstrittene) dissoziative Störung und die Somatisierungsstörung mit einer zumutbaren Willensanstrengung überwinden könne, da sich keine schweren, lebensgeschichtlichen Belastungen finden liessen, Hinweise auf unbewusste Konflikte fehlten und kein primärer Krankheitsgewinn vorhanden sei. Die bisherigen therapeutischen Bemühungen seien gescheitert, weil der Beschwerdeführer wenig Motivation gezeigt habe, sich trotz allfälliger Restbeschwerden aktiv um seine Genesung zu bemühen und sich den Belastungen der Arbeitswelt wieder auszusetzen. Dieser Schlussfolgerung von Dr. K.___ kann nichts entgegengehalten werden. Es ist daher mit dem Beweisgrad der über­wiegenden Wahrscheinlichkeit erstellt, dass der Beschwerdeführer aus psychiatrischer Sicht in seiner Arbeitsfähigkeit nicht eingeschränkt ist. 4.4   Der Rechtsvertreter hat weiter vorgebracht, dass aufgrund des Sturzereignisses vom 1. Dezember 2009 und den weiteren Symptomen (Schwindel, Übelkeit, Schlaf­losigkeit, Lustlosigkeit, Kraftlosigkeit, Konzentrationsstörungen etc.) eine neurologische Abklärung hätte durchgeführt werden müssen. Dr. I.___ hat eine neurologische Untersuchung durchgeführt (vgl. Gutachten S. 14, Ziff. 4.2.2.2 [Neurologischer Status]). Hierzu war er auch befähigt, da unter das Fachgebiet der Rheumatologie auch Krankheiten des Nervensystems fallen (vgl. http://www.hirslanden.ch/global/de/startseite/gesundheit_ medizin/themen_beitraege/krankheiten_behandlungsmethoden/fachgebiete_fmh/rheumatologie.html, besucht am 14. Oktober 2014). Zwar hat Dr. I.___ die meisten neuro­logischen Tests wegen der geltend gemachten lumbalen Schmerzen sowie wegen teilweise heftiger Gegeninnervation durch den Beschwerdeführer nicht richtig durch­führen können (vgl. Ziff. A.l.). Aus der unterlassenen Mitwirkung bei der klinischen Untersuchung kann der Beschwerdeführer jedoch keinen Vorteil für sich ableiten, da nur ein nachgewiesener Gesundheitsschaden eine Invalidität begründen kann. Dr. I.___ ist zum Schluss gekommen, dass die klinisch vorhandenen Auffälligkeiten des linken Beines weder durch eine Affektion des Bewegungsapparates noch durch eine neurologische Ursache erklärt werden könnten; sowohl die Sensibilitätsstörungen als auch die demonstrierten Paresen seien ganz diffus verteilt, es sei kein radikuläres oder peripher-neurologisches Muster zu erkennen gewesen. Gegen eine relevante neurogene Parese spreche auch, dass keine Atrophie der entsprechenden Muskeln vorliege. Diese Aussagen überzeugen. Dr. I.___ hat zwar noch angegeben, dass zur Erhöhung der diagnostischen Sicherheit gelegentlich eine neurologische Abklärung inklusive elektrophysiologische Untersuchung durchgeführt werden sollte. Im Sozialversicherungsverfahren gilt allerdings "nur" der Beweisgrad der überwiegenden Wahrscheinlichkeit. Es ist davon auszugehen, dass Dr. I.___ eine entsprechende Abklärung in Auftrag gegeben hätte, wenn er eine solche für den Nachweis eines invalidisierenden Gesundheitsschadens als notwendig erachtet hätte. Die Beschwerdegegnerin hat somit zu Recht darauf verzichtet, eine (weitere) neu­rologische Abklärung in Auftrag zu geben. Der Rechtsvertreter hat Dr. I.___ zudem vorgeworfen, seine Schlussfolgerungen nicht hinreichend begründet zu haben. Obwohl dem Sachverständigen bei der Untersuchung eine ungewöhnliche Schonhaltung und Schonbewegung bei massiver Schräghaltung des Oberkörpers nach rechts begleitet von einem Tremor aufgefallen sei und er von einer möglichen ISG-Dysfunktion gesprochen habe, habe er ohne stichhaltige Begründung oder Abklärung eine Schmerzverarbeitungsstörung/Symptomausweitung angenommen. Insbesondere seien der Sturz und seine aktenkundigen Folgen unerwähnt geblieben. Der Beschwerdeführer ist nach dem Sturzereignis am 1. Dezember 2009 in der Klinik Valens und vor allem im Kantonsspital eingehend untersucht worden. Eine körperliche Ursache für den Sturz hat jedoch nicht gefunden werden können, weshalb das Kantonsspital erklärt hatte, dass am ehesten von einem psychogenen Stupor auszugehen sei. Die Sachverständigen haben die Bewusstseinsverluste daher als dissoziatives Symptom eingeordnet. Die geltend gemachten Folgen des Sturz­ereignisses, d.h. der Schwindel und die Gleichgewichtsstörungen, fallen sodann nicht in das Fachgebiet der Rheumatologie, sondern in jenes der Otorhinolaryngologie. Des Weiteren hat Dr. I.___ ausführlich begründet, weshalb beim Beschwerdeführer mit überwiegender Wahrscheinlichkeit keine ISG-Dys­funktion vorliege (vgl. S. 17 des ABI-Gutachten). Zwar ist richtig, dass Dr. I.___ eine ganz ungewöhnliche Schonhaltung und sehr ausgedehnte Schonbewegungen sowie eine massive Schräghaltung des Oberkörpers nach rechts aufgefallen sind und bei Aufforderung zu Bewegungen des linken Beines an beiden Beinen ein sakkadierter Tremor aufgetreten ist. Dr. I.___ hat jedoch erklärt, dass er für die demonstrierten Schonhaltungen und Schonbewegungen kein Korrelat in einer Erkrankung des Bewegungsapparates gefunden habe. Bei beiden Knie- und Hüftgelenken seien keine eindeutigen Bewegungseinschränkungen feststellbar gewesen. Die nachgewiesenen Veränderungen an der LWS könnten das klinische Gesamtbild mit Sicherheit nicht begründen. Wiederum ist anzumerken, dass der Gutachter wegen heftiger Gegeninnervation seitens des Beschwerdeführers viele rheumatologische Tests, u.a. die Bewegungsprüfung der LWS, nicht hat durchführen können, was dem Beschwerdeführer jedoch nicht zum Vorteil gereichen kann. Gestützt auf die erhobenen Befunde hat Dr. I.___ erklärt, dass ein dringender Verdacht auf eine Schmerzverarbeitungsstörung bestehe, wobei wohl aufgrund des inadäquaten Schonverhaltens eine lokoregionäre Symptomausweitung eingetreten sei. Diese Diagnose wird im Übrigen durch den Untersuchungsbericht von Dr. E.___ gestützt; dieser hatte bereits im September 2009 über Hinweise auf eine beginnende Schmerzverarbeitungsstörung berichtet. Der Argumentation des Rechtsvertreters, Dr. I.___ habe die Diagnose einer Schmerzverarbeitungsstörung nicht ausreichend begründet, kann somit nicht gefolgt werden. Insbesondere auch nicht, weil es sich "lediglich" um einen dringenden Verdacht bzw. eine Differentialdiagnose gehandelt hat. Durch die bildgebenden Befunde ausgewiesen und unbestritten ist, dass beim Beschwerdeführer wegen mässigen degenerativen Diskopathien der LWS mit u.a. kleiner Diskushernie paramedian links L1/2 ohne Hinweise für eine Neurokompro­mittierung die Diagnose eines chronischen lumbo­spondylogenen Schmerzsyndroms gestellt werden kann. Nachvollziehbar ist auch, dass dem Beschwerdeführer deshalb Tätigkeiten mit starker und mittelstarker Rückenbelastung nicht mehr zugemutet werden können, dass er aber in körperlich leichten Tätigkeiten mit nur leichter Rückenbelastung sowie der Möglichkeit zu Wechselpositionen, zu 100 % arbeitsfähig ist. 4.5   Der Rechtsvertreter hat schliesslich noch eingewendet, dass das ORL-Gutachten nicht überzeuge. Es sei nicht nachvollziehbar begründet worden, weshalb die von Dr. H.___ festgestellten Resultate nur teilweise hätten bestätigt werden können. Die Berichte von Dr. H.___ überzeugen aus den folgenden Gründen nicht: Erstens hat sich Dr. H.___ nicht oder nur ungenügend mit den Vorakten bzw. der Anamnese aus­einandergesetzt: So hat er als Diagnose u.a. einen Status nach Schädelbruch mit passivem HWS-Abknicktrauma und Commotio cerebri et labyrinthi links am 1. Dezem­ber 2009 angegeben. Aus dem Austrittsbericht der Klinik Valens geht allerdings klar hervor, dass ein vom Kantonsspital Graubünden durchgeführtes Schädel-CT unauffällig gewesen sei und dass bei der klinischen Untersuchung keine Zeichen für eine Commotio hätten festgestellt werden können. Sodann hat Dr. H.___ erklärt, der Beschwerdeführer sei beim Sturzereignis am 1. Dezember 2009 auf den Hinterkopf gefallen. Gemäss dem Austrittsbericht der Klinik Valens ist er jedoch mit steifem Körper auf die rechte Seite gefallen. Des Weiteren geht aus den übrigen Akten nicht hervor, dass der Beschwerdeführer an Leseschwierigkeiten mit Verschwimmen der Buchstaben und begleitet von visuellem Unbehagen und Konzentrationsproblemen leiden soll. Es besteht hier auch eine gewisse Diskrepanz zur anlässlich der Begutachtung gemachten Aussage des Beschwerdeführers, dass er gerne Zeitungen lese und sich gerne am PC beschäftige. Zumindest wäre zu erwarten gewesen, dass er diese Einschränkungen gegenüber den Gutachtern erwähnt. Gleiches gilt für das geltend gemachte Druckgefühl und die stechenden Otalgien links; auch diese Symptome hat der Beschwerdeführer gegenüber den Gutachtern unerwähnt gelassen. Zweitens ist, wie das ABI in seiner Stellungnahme erwähnt hat, bekannt bzw. gerichtsnotorisch, dass Dr. H.___ jeweils sehr viele Untersuchungen durchführt, die letztlich nur wenig zur alltagsrelevanten Situation beitragen. Denn nicht von jedem leicht abweichenden Normbefund kann auf eine anspruchsrelevante Arbeitsunfähigkeit geschlossen werden. Drittens überzeugen die Arbeitsfähigkeitsschätzungen von Dr. H.___ nicht. So hat er den IV-Grad und den Arbeitsunfähigkeitsgrad einander gleichgesetzt, obwohl es sich hierbei um Zahlenwerte handelt, die auf unterschiedliche Weise ermittelt werden. Auch entspricht der von ihm ermittelte Integritätsschaden ziffernmässig jeweils der Arbeitsunfähigkeit, obwohl der Integritätsschaden nichts mit der Arbeitsfähigkeit zu tun hat. Während Dr. H.___ die Arbeitsunfähigkeit aus neuro-otologischer Sicht im Oktober 2010 auf 30 % geschätzt hat, ist er im Januar 2012 von einer Arbeitsunfähigkeit von 45-50 % ausgegangen. Die Begründung scheint in der Verstärkung der Schwindelbeschwerden und Gleichgewichtsstörungen zu liegen. Aus dem Bericht von Dr. H.___ geht allerdings nicht hervor, wie sich die Zunahme dieser Beschwerden geäussert hat (z.B. Schwindelattacken in kürzeren Abständen, oder stärker ausgeprägte Gleichgewichtsbeschwerden). Gerade davon hängt jedoch ab, ob bzw. wie in welchem Ausmass sich die Arbeitsfähigkeit verschlechtert hat; von Untersuchungszahlen alleine kann nicht auf den Arbeitsfähigkeitsgrad geschlossen werden. Und schliesslich hat Dr. H.___ keine Unterscheidung zwischen der Arbeitsfähigkeit in einer adaptierten und in der angestammten Tätigkeit gemacht. Gerade bei Vorliegen von Schwindel- und Gleichgewichtsstörungen ist es offensichtlich, dass gewisse Tätigkeiten (insbesondere sturzgefährdende Tätigkeiten wie das Besteigen von Leitern) gar nicht mehr ausgeübt werden können. Dr. H.___ muss daher die Kenntnis des Begriffs der medizinisch-theoretischen Arbeitsfähigkeit abgesprochen werden. Die angeführten Gründe lassen erhebliche Zweifel an der Qualität und Aussagekraft der Berichte von Dr. H.___ aufkommen. Demgegenüber überzeugt das Teilgutachten von Dr. J.___: Er hat sich gründlich mit den Vorakten auseinandergesetzt, die Zusammenhänge zwischen den Befunden und den gestellten Diagnosen sind nachvollziehbar und begründet und auch die Arbeitsfähigkeitsschätzung ist evident. Einzig die Diagnose des Tinnitus auris beidseits überzeugt nicht, wobei hierbei ein Versehen angenommen werden kann: Denn in der Anamnese hat Dr. J.___ angegeben, dass der Beschwerdeführer einen Tinnitus negiert hat. Dr. H.___ hat scharfe Kritik am Gutachten von Dr. J.___ geübt. Ob diese Kritik berechtigt ist, könnte nur eine weitere otorhinolaryngologische Begutachtung aufzeigen. Bei näherer Betrachtung scheinen die Diagnosen von Dr. H.___ und Dr. J.___ allerdings nicht weit auseinanderzuliegen: So haben beide eine moderate Hochtonschwerhörigkeit links und eine Störung des Gleichgewichtsfunktionssystems diagnostiziert. Eine Contusio laby­rinthi (Innenohrschädigung), die ursächlich für Schwindelbeschwerden sein kann, hat Dr. J.___ im Gegensatz zu Dr. H.___ zwar nicht eruieren können. Was die Ursache einer organisch nachgewiesenen Gleichgewichtsfunktionsstörung ist, spielt für die Arbeitsfähigkeitsschätzung jedoch gar keine Rolle. Dr. J.___ hat schliesslich noch erklärt, dass die Befunde der von Dr. H.___ durchgeführten posturallen Prüfung in Anbetracht der subjektiven Beschwerden im Bereich des Achsenskeletts kaum ver­wertbar seien. Diese Aussage leuchtet ein; so hat Dr. H.___ in seinem Bericht vom Januar 2012 selber angegeben, dass die Koordinationsprüfungen wegen der Rücken- und Beinschmerzen nicht genau beurteilbar seien. Aufgrund der festgestellten, qualitativ erheblichen Mängel der Berichte von Dr. H.___ sowie der Tatsache, dass die von Dr. J.___ gestellten Diagnosen nicht weit von jenen von Dr. H.___ abweichen, muss in antizipierter Beweiswürdigung davon ausgegangen werden, dass aus einer dritten otorhinolaryngologischen Abklärung keine weiteren, entscheidrelevanten Infor­mationen gewonnen werden könnten. Es ist daher überwiegend wahrscheinlich, dass der Beschwerdeführer wegen der leichten bis mittelschweren Störung des Gleichge­wichtsfunktionssystems seit dem Sturzereignis am 1. Dezember 2009 in sturzgefähr­denden Tätigkeiten sowie in Tätigkeiten, die das Führen eines Motorfahrzeuges be­inhalten, zu 100 % arbeitsunfähig ist. In anderen Tätigkeiten benötigt er vermehrte Pausen, weshalb er in einem ganztägigen Pensum in seiner Leistungsfähigkeit zu 25 % eingeschränkt ist. Zusammenfassend ist festzuhalten, dass der Beschwerdeführer aus polydisziplinärer Sicht in seiner angestammten Tätigkeit als Lastwagenchauffeur zu 100 % arbeitsunfähig ist. In körperlich leichten wechselbelastenden Tätigkeiten, die weder das Führen eines Motorfahrzeugs noch sturzgefährdende Tätigkeiten beinhalten, ist er in einem Pensum von 100 % zu 25 % in seiner Leistungsfähigkeit eingeschränkt.</w:t>
      </w:r>
    </w:p>
    <w:p>
      <w:r>
        <w:rPr>
          <w:b/>
        </w:rPr>
        <w:t>E. 5</w:t>
      </w:r>
    </w:p>
    <w:p>
      <w:r>
        <w:t>Für die Berechnung des Valideneinkommens hat die Beschwerdegegnerin richtiger­weise auf das zuletzt erzielte Einkommen als Lastwagenchauffeur abgestellt. Dieses hat im Jahr 2008 Fr. 62'400.-- betragen. Unter Berücksichtigung des Wartejahres würde ein allfälliger Rentenanspruch ab dem 1. Dezember 2009 bestehen. Angepasst an die Nominallohnentwicklung hätte das Einkommen des Beschwerdeführers als Lastwagenchauffeur im Jahr 2009 Fr. 63'712.-- betragen. Dieser Betrag entspricht dem Valideneinkommen. Da eine Umschulung aufgrund der subjektiven Überzeugung des Beschwerdeführers, in allen Tätigkeiten nicht arbeitsfähig zu sein, nicht erfolgsversprechend ist, ist für die Bemessung des Invalideneinkommens auf das durchschnittliche Einkommen eines Hilfsarbeiters im Jahr 2009 gemäss der Lohnstrukturerhebung des Bundesamtes für Statistik abzustellen. Dieses hat im Jahr 2009, aufgerechnet auf die betriebsübliche Arbeitszeit von 41.6 Stunden, Fr. 61'240.-- betragen (IVG-Textausgabe 2012, Anhang 2). Die Beschwerdegegnerin hat keinen Tabellenlohnabzug vorgenommen. Aufgrund des ganztägigen Einsatzes bei reduzierter Leistungsfähigkeit ist ein Abzug von 10 % vom Tabellenlohn gerechtfertigt (vgl. Philipp Geertsen, Der Tabellenlohnabzug, in: Ueli Kieser/Miriam Lendfers, Jahrbuch zum Sozialversicherungsrecht 2012, St. Gallen 2012, S. 148 ff.). Das Invalideneinkommen beträgt somit Fr. 41'337.-- (Abzug von 25 % wegen verminderter Leistungsfähigkeit und 10 % Tabellenlohnabzug). Daraus resultiert ein nicht rentenbegründender IV-Grad von 35 %.</w:t>
      </w:r>
    </w:p>
    <w:p>
      <w:r>
        <w:rPr>
          <w:b/>
        </w:rPr>
        <w:t>E. 6</w:t>
      </w:r>
    </w:p>
    <w:p>
      <w:r>
        <w:t>6.1   Nach dem Gesagten ist die Beschwerde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Ge­richtsgebühr in der Höhe von Fr. 600.-- ist dem unterliegenden Beschwerdeführer auf­zuerlegen. Die Gerichtsgebühr ist durch den geleisteten Kostenvorschuss in derselben Höhe gedeckt. Dem Verfahrensausgang entsprechend hat der Beschwerdeführer keinen Anspruch auf eine Parteientschädigung. Demgemäss hat das Versicherungsgericht im Zirkulationsverfahren gemäss Art. 39 VRP entschieden: 1.      Die Beschwerde wird abgewiesen. 2.      Der Beschwerdeführer hat die Gerichtskosten von Fr. 600.-- zu bezahlen; die Gerichtsgebühr ist durch den geleisteten Kostenvorschuss in derselben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